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51" w:rsidRDefault="00366851" w:rsidP="00366851">
      <w:pPr>
        <w:numPr>
          <w:ilvl w:val="0"/>
          <w:numId w:val="1"/>
        </w:numPr>
        <w:tabs>
          <w:tab w:val="clear" w:pos="2272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Revenue and Other Legislation Amendment Bill 2010 includes amendments to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>’</w:t>
      </w:r>
      <w:r w:rsidR="005B6CC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revenue legislation to maintain its currency and ensure that it operates as intended.</w:t>
      </w:r>
    </w:p>
    <w:p w:rsidR="00366851" w:rsidRDefault="00366851" w:rsidP="00366851">
      <w:pPr>
        <w:jc w:val="both"/>
        <w:rPr>
          <w:rFonts w:ascii="Arial" w:hAnsi="Arial" w:cs="Arial"/>
          <w:sz w:val="22"/>
          <w:szCs w:val="22"/>
        </w:rPr>
      </w:pPr>
    </w:p>
    <w:p w:rsidR="00366851" w:rsidRDefault="00366851" w:rsidP="00366851">
      <w:pPr>
        <w:numPr>
          <w:ilvl w:val="0"/>
          <w:numId w:val="1"/>
        </w:numPr>
        <w:tabs>
          <w:tab w:val="clear" w:pos="2272"/>
          <w:tab w:val="num" w:pos="567"/>
          <w:tab w:val="num" w:pos="1134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Many of the amendments are beneficial to taxpayers and a number of amendments have been operating under administrative arrangements.  Other amendments clarify the operation of the legislation or update or correct superseded terms o</w:t>
      </w:r>
      <w:r w:rsidR="0071610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references.  The remaining amendments are considered necessary to protect revenue.  Amendments to the following revenue legislation were included:  </w:t>
      </w:r>
      <w:r w:rsidRPr="00B858B7">
        <w:rPr>
          <w:rFonts w:ascii="Arial" w:hAnsi="Arial" w:cs="Arial"/>
          <w:i/>
          <w:sz w:val="22"/>
          <w:szCs w:val="22"/>
        </w:rPr>
        <w:t>Community Ambulance Cover Act 2003</w:t>
      </w:r>
      <w:r>
        <w:rPr>
          <w:rFonts w:ascii="Arial" w:hAnsi="Arial" w:cs="Arial"/>
          <w:sz w:val="22"/>
          <w:szCs w:val="22"/>
        </w:rPr>
        <w:t xml:space="preserve">; </w:t>
      </w:r>
      <w:r w:rsidRPr="00B858B7">
        <w:rPr>
          <w:rFonts w:ascii="Arial" w:hAnsi="Arial" w:cs="Arial"/>
          <w:i/>
          <w:sz w:val="22"/>
          <w:szCs w:val="22"/>
        </w:rPr>
        <w:t>Duties Act 2001</w:t>
      </w:r>
      <w:r>
        <w:rPr>
          <w:rFonts w:ascii="Arial" w:hAnsi="Arial" w:cs="Arial"/>
          <w:sz w:val="22"/>
          <w:szCs w:val="22"/>
        </w:rPr>
        <w:t xml:space="preserve">; </w:t>
      </w:r>
      <w:r w:rsidRPr="00B858B7">
        <w:rPr>
          <w:rFonts w:ascii="Arial" w:hAnsi="Arial" w:cs="Arial"/>
          <w:i/>
          <w:sz w:val="22"/>
          <w:szCs w:val="22"/>
        </w:rPr>
        <w:t>First Home Owners Grant Act 2000</w:t>
      </w:r>
      <w:r>
        <w:rPr>
          <w:rFonts w:ascii="Arial" w:hAnsi="Arial" w:cs="Arial"/>
          <w:sz w:val="22"/>
          <w:szCs w:val="22"/>
        </w:rPr>
        <w:t xml:space="preserve">; </w:t>
      </w:r>
      <w:r w:rsidRPr="00B858B7">
        <w:rPr>
          <w:rFonts w:ascii="Arial" w:hAnsi="Arial" w:cs="Arial"/>
          <w:i/>
          <w:sz w:val="22"/>
          <w:szCs w:val="22"/>
        </w:rPr>
        <w:t>Land Tax Act 1915</w:t>
      </w:r>
      <w:r>
        <w:rPr>
          <w:rFonts w:ascii="Arial" w:hAnsi="Arial" w:cs="Arial"/>
          <w:sz w:val="22"/>
          <w:szCs w:val="22"/>
        </w:rPr>
        <w:t xml:space="preserve">; </w:t>
      </w:r>
      <w:r w:rsidRPr="00B858B7">
        <w:rPr>
          <w:rFonts w:ascii="Arial" w:hAnsi="Arial" w:cs="Arial"/>
          <w:i/>
          <w:sz w:val="22"/>
          <w:szCs w:val="22"/>
        </w:rPr>
        <w:t>Payroll Tax Act 1971</w:t>
      </w:r>
      <w:r>
        <w:rPr>
          <w:rFonts w:ascii="Arial" w:hAnsi="Arial" w:cs="Arial"/>
          <w:sz w:val="22"/>
          <w:szCs w:val="22"/>
        </w:rPr>
        <w:t xml:space="preserve">; and </w:t>
      </w:r>
      <w:r w:rsidRPr="00B858B7">
        <w:rPr>
          <w:rFonts w:ascii="Arial" w:hAnsi="Arial" w:cs="Arial"/>
          <w:i/>
          <w:sz w:val="22"/>
          <w:szCs w:val="22"/>
        </w:rPr>
        <w:t>Taxation Administration Act 2001</w:t>
      </w:r>
      <w:r>
        <w:rPr>
          <w:rFonts w:ascii="Arial" w:hAnsi="Arial" w:cs="Arial"/>
          <w:sz w:val="22"/>
          <w:szCs w:val="22"/>
        </w:rPr>
        <w:t>.</w:t>
      </w:r>
    </w:p>
    <w:p w:rsidR="00366851" w:rsidRDefault="00366851" w:rsidP="00366851">
      <w:pPr>
        <w:jc w:val="both"/>
        <w:rPr>
          <w:rFonts w:ascii="Arial" w:hAnsi="Arial" w:cs="Arial"/>
          <w:sz w:val="22"/>
          <w:szCs w:val="22"/>
        </w:rPr>
      </w:pPr>
    </w:p>
    <w:p w:rsidR="00366851" w:rsidRDefault="00366851" w:rsidP="00366851">
      <w:pPr>
        <w:numPr>
          <w:ilvl w:val="0"/>
          <w:numId w:val="1"/>
        </w:numPr>
        <w:tabs>
          <w:tab w:val="clear" w:pos="2272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also includes amendments to the </w:t>
      </w:r>
      <w:r w:rsidRPr="00B858B7">
        <w:rPr>
          <w:rFonts w:ascii="Arial" w:hAnsi="Arial" w:cs="Arial"/>
          <w:i/>
          <w:sz w:val="22"/>
          <w:szCs w:val="22"/>
        </w:rPr>
        <w:t>GST and Related Matters Act 2000</w:t>
      </w:r>
      <w:r>
        <w:rPr>
          <w:rFonts w:ascii="Arial" w:hAnsi="Arial" w:cs="Arial"/>
          <w:sz w:val="22"/>
          <w:szCs w:val="22"/>
        </w:rPr>
        <w:t xml:space="preserve"> to repeal redundant legislative provisions.</w:t>
      </w:r>
    </w:p>
    <w:p w:rsidR="00366851" w:rsidRDefault="00366851" w:rsidP="00366851">
      <w:pPr>
        <w:jc w:val="both"/>
        <w:rPr>
          <w:rFonts w:ascii="Arial" w:hAnsi="Arial" w:cs="Arial"/>
          <w:sz w:val="22"/>
          <w:szCs w:val="22"/>
        </w:rPr>
      </w:pPr>
    </w:p>
    <w:p w:rsidR="00366851" w:rsidRDefault="00366851" w:rsidP="00366851">
      <w:pPr>
        <w:numPr>
          <w:ilvl w:val="0"/>
          <w:numId w:val="1"/>
        </w:numPr>
        <w:tabs>
          <w:tab w:val="clear" w:pos="2272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amendments to the </w:t>
      </w:r>
      <w:r>
        <w:rPr>
          <w:rFonts w:ascii="Arial" w:hAnsi="Arial" w:cs="Arial"/>
          <w:i/>
          <w:sz w:val="22"/>
          <w:szCs w:val="22"/>
        </w:rPr>
        <w:t>Trans-Tasman Mutual Recognition (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i/>
          <w:sz w:val="22"/>
          <w:szCs w:val="22"/>
        </w:rPr>
        <w:t xml:space="preserve">) Act 2003 </w:t>
      </w:r>
      <w:r>
        <w:rPr>
          <w:rFonts w:ascii="Arial" w:hAnsi="Arial" w:cs="Arial"/>
          <w:sz w:val="22"/>
          <w:szCs w:val="22"/>
        </w:rPr>
        <w:t xml:space="preserve">remove the provision requiring the express authorisation of an Act for the Governor to make a gazette notice endorsing proposed regulation amending the schedules to the </w:t>
      </w:r>
      <w:r>
        <w:rPr>
          <w:rFonts w:ascii="Arial" w:hAnsi="Arial" w:cs="Arial"/>
          <w:i/>
          <w:sz w:val="22"/>
          <w:szCs w:val="22"/>
        </w:rPr>
        <w:t xml:space="preserve">Trans-Tasman Mutual Recognition Act 2003 </w:t>
      </w:r>
      <w:r>
        <w:rPr>
          <w:rFonts w:ascii="Arial" w:hAnsi="Arial" w:cs="Arial"/>
          <w:sz w:val="22"/>
          <w:szCs w:val="22"/>
        </w:rPr>
        <w:t>(Cwlth).</w:t>
      </w:r>
    </w:p>
    <w:p w:rsidR="00366851" w:rsidRDefault="00366851" w:rsidP="00366851">
      <w:pPr>
        <w:numPr>
          <w:ilvl w:val="0"/>
          <w:numId w:val="1"/>
        </w:numPr>
        <w:tabs>
          <w:tab w:val="clear" w:pos="2272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Separately, Cabinet approved the inclusion of amendments to the </w:t>
      </w:r>
      <w:r>
        <w:rPr>
          <w:rFonts w:ascii="Arial" w:hAnsi="Arial" w:cs="Arial"/>
          <w:i/>
          <w:sz w:val="22"/>
          <w:szCs w:val="22"/>
        </w:rPr>
        <w:t xml:space="preserve">Infrastructure Investment (Asset Restructuring and Disposal) Act </w:t>
      </w:r>
      <w:r w:rsidR="005B6CCE">
        <w:rPr>
          <w:rFonts w:ascii="Arial" w:hAnsi="Arial" w:cs="Arial"/>
          <w:i/>
          <w:sz w:val="22"/>
          <w:szCs w:val="22"/>
        </w:rPr>
        <w:t xml:space="preserve">2009 </w:t>
      </w:r>
      <w:r>
        <w:rPr>
          <w:rFonts w:ascii="Arial" w:hAnsi="Arial" w:cs="Arial"/>
          <w:sz w:val="22"/>
          <w:szCs w:val="22"/>
        </w:rPr>
        <w:t xml:space="preserve">to facilitate the commercial restructure of declared projects and the </w:t>
      </w:r>
      <w:r>
        <w:rPr>
          <w:rFonts w:ascii="Arial" w:hAnsi="Arial" w:cs="Arial"/>
          <w:i/>
          <w:sz w:val="22"/>
          <w:szCs w:val="22"/>
        </w:rPr>
        <w:t xml:space="preserve">Superannuation (State Public Sector) Act 1990 </w:t>
      </w:r>
      <w:r>
        <w:rPr>
          <w:rFonts w:ascii="Arial" w:hAnsi="Arial" w:cs="Arial"/>
          <w:sz w:val="22"/>
          <w:szCs w:val="22"/>
        </w:rPr>
        <w:t>to simplify the process for the contribution of eligibility membership with QSuper for employees who are no longer employed by a state public sector unit as a result of a restructure of a government business.</w:t>
      </w:r>
    </w:p>
    <w:p w:rsidR="00366851" w:rsidRDefault="00366851" w:rsidP="00366851">
      <w:pPr>
        <w:jc w:val="both"/>
        <w:rPr>
          <w:rFonts w:ascii="Arial" w:hAnsi="Arial" w:cs="Arial"/>
          <w:sz w:val="22"/>
          <w:szCs w:val="22"/>
        </w:rPr>
      </w:pPr>
    </w:p>
    <w:p w:rsidR="00366851" w:rsidRDefault="00366851" w:rsidP="00366851">
      <w:pPr>
        <w:numPr>
          <w:ilvl w:val="0"/>
          <w:numId w:val="1"/>
        </w:numPr>
        <w:tabs>
          <w:tab w:val="clear" w:pos="2272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B7AFB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inclusion of the amendments to the </w:t>
      </w:r>
      <w:r>
        <w:rPr>
          <w:rFonts w:ascii="Arial" w:hAnsi="Arial" w:cs="Arial"/>
          <w:i/>
          <w:sz w:val="22"/>
          <w:szCs w:val="22"/>
        </w:rPr>
        <w:t>Trans-Tasman Mutual Recognition (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i/>
          <w:sz w:val="22"/>
          <w:szCs w:val="22"/>
        </w:rPr>
        <w:t>) Act 2003</w:t>
      </w:r>
      <w:r>
        <w:rPr>
          <w:rFonts w:ascii="Arial" w:hAnsi="Arial" w:cs="Arial"/>
          <w:sz w:val="22"/>
          <w:szCs w:val="22"/>
        </w:rPr>
        <w:t xml:space="preserve"> in the </w:t>
      </w:r>
      <w:r w:rsidRPr="005B7AFB">
        <w:rPr>
          <w:rFonts w:ascii="Arial" w:hAnsi="Arial" w:cs="Arial"/>
          <w:sz w:val="22"/>
          <w:szCs w:val="22"/>
        </w:rPr>
        <w:t>Revenue and Other Legislation Amendment Bill 2010.</w:t>
      </w:r>
    </w:p>
    <w:p w:rsidR="00366851" w:rsidRDefault="00366851" w:rsidP="00366851">
      <w:pPr>
        <w:jc w:val="both"/>
        <w:rPr>
          <w:rFonts w:ascii="Arial" w:hAnsi="Arial" w:cs="Arial"/>
          <w:sz w:val="22"/>
          <w:szCs w:val="22"/>
        </w:rPr>
      </w:pPr>
    </w:p>
    <w:p w:rsidR="00366851" w:rsidRPr="005B7AFB" w:rsidRDefault="00366851" w:rsidP="00366851">
      <w:pPr>
        <w:numPr>
          <w:ilvl w:val="0"/>
          <w:numId w:val="1"/>
        </w:numPr>
        <w:tabs>
          <w:tab w:val="clear" w:pos="2272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the inclusion of amendments to the </w:t>
      </w:r>
      <w:r>
        <w:rPr>
          <w:rFonts w:ascii="Arial" w:hAnsi="Arial" w:cs="Arial"/>
          <w:i/>
          <w:sz w:val="22"/>
          <w:szCs w:val="22"/>
        </w:rPr>
        <w:t>State Financial Institutions and Metway Merger Facilitation Act 1996</w:t>
      </w:r>
      <w:r>
        <w:rPr>
          <w:rFonts w:ascii="Arial" w:hAnsi="Arial" w:cs="Arial"/>
          <w:sz w:val="22"/>
          <w:szCs w:val="22"/>
        </w:rPr>
        <w:t xml:space="preserve"> in the Revenue and Other Legislation Amendment Bill 2010.</w:t>
      </w:r>
    </w:p>
    <w:p w:rsidR="00366851" w:rsidRDefault="00366851" w:rsidP="00366851">
      <w:pPr>
        <w:jc w:val="both"/>
        <w:rPr>
          <w:rFonts w:ascii="Arial" w:hAnsi="Arial" w:cs="Arial"/>
          <w:sz w:val="22"/>
          <w:szCs w:val="22"/>
        </w:rPr>
      </w:pPr>
    </w:p>
    <w:p w:rsidR="00366851" w:rsidRPr="005B7AFB" w:rsidRDefault="00366851" w:rsidP="00366851">
      <w:pPr>
        <w:numPr>
          <w:ilvl w:val="0"/>
          <w:numId w:val="1"/>
        </w:numPr>
        <w:tabs>
          <w:tab w:val="clear" w:pos="2272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B7AFB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Revenue and Other Legislation Amendment Bill 2010 into the Legislative Assembly.</w:t>
      </w:r>
    </w:p>
    <w:p w:rsidR="00366851" w:rsidRPr="005B7AFB" w:rsidRDefault="00366851" w:rsidP="00366851">
      <w:pPr>
        <w:jc w:val="both"/>
        <w:rPr>
          <w:rFonts w:ascii="Arial" w:hAnsi="Arial" w:cs="Arial"/>
          <w:sz w:val="22"/>
          <w:szCs w:val="22"/>
        </w:rPr>
      </w:pPr>
    </w:p>
    <w:p w:rsidR="00366851" w:rsidRPr="00366851" w:rsidRDefault="00366851" w:rsidP="002A489A">
      <w:pPr>
        <w:numPr>
          <w:ilvl w:val="0"/>
          <w:numId w:val="1"/>
        </w:numPr>
        <w:tabs>
          <w:tab w:val="clear" w:pos="2272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5B7AF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66851" w:rsidRDefault="00746A25" w:rsidP="002A489A">
      <w:pPr>
        <w:numPr>
          <w:ilvl w:val="0"/>
          <w:numId w:val="2"/>
        </w:numPr>
        <w:tabs>
          <w:tab w:val="clear" w:pos="1114"/>
          <w:tab w:val="num" w:pos="1080"/>
        </w:tabs>
        <w:spacing w:after="240"/>
        <w:ind w:left="1080" w:hanging="540"/>
        <w:jc w:val="both"/>
        <w:rPr>
          <w:rFonts w:ascii="Arial" w:hAnsi="Arial" w:cs="Arial"/>
          <w:sz w:val="22"/>
          <w:szCs w:val="22"/>
        </w:rPr>
      </w:pPr>
      <w:hyperlink r:id="rId7" w:history="1">
        <w:r w:rsidR="00366851" w:rsidRPr="00BF63BA">
          <w:rPr>
            <w:rStyle w:val="Hyperlink"/>
            <w:rFonts w:ascii="Arial" w:hAnsi="Arial" w:cs="Arial"/>
            <w:sz w:val="22"/>
            <w:szCs w:val="22"/>
          </w:rPr>
          <w:t>Revenue and Other Legislation Amendment Bill 2010</w:t>
        </w:r>
      </w:hyperlink>
    </w:p>
    <w:p w:rsidR="00366851" w:rsidRDefault="00746A25" w:rsidP="002A489A">
      <w:pPr>
        <w:numPr>
          <w:ilvl w:val="0"/>
          <w:numId w:val="2"/>
        </w:numPr>
        <w:tabs>
          <w:tab w:val="clear" w:pos="1114"/>
          <w:tab w:val="num" w:pos="1080"/>
        </w:tabs>
        <w:spacing w:after="240"/>
        <w:ind w:left="1080" w:hanging="540"/>
        <w:jc w:val="both"/>
        <w:rPr>
          <w:rFonts w:ascii="Arial" w:hAnsi="Arial" w:cs="Arial"/>
          <w:sz w:val="22"/>
          <w:szCs w:val="22"/>
        </w:rPr>
      </w:pPr>
      <w:hyperlink r:id="rId8" w:history="1">
        <w:r w:rsidR="00366851" w:rsidRPr="00BF63B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366851" w:rsidRPr="00366851" w:rsidRDefault="00366851" w:rsidP="002A489A">
      <w:pPr>
        <w:tabs>
          <w:tab w:val="left" w:pos="2835"/>
        </w:tabs>
        <w:rPr>
          <w:kern w:val="20"/>
        </w:rPr>
      </w:pPr>
    </w:p>
    <w:sectPr w:rsidR="00366851" w:rsidRPr="00366851" w:rsidSect="00366851">
      <w:headerReference w:type="default" r:id="rId9"/>
      <w:footerReference w:type="default" r:id="rId10"/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CE" w:rsidRDefault="008420CE">
      <w:r>
        <w:separator/>
      </w:r>
    </w:p>
  </w:endnote>
  <w:endnote w:type="continuationSeparator" w:id="0">
    <w:p w:rsidR="008420CE" w:rsidRDefault="0084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08" w:rsidRPr="002A489A" w:rsidRDefault="00241708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CE" w:rsidRDefault="008420CE">
      <w:r>
        <w:separator/>
      </w:r>
    </w:p>
  </w:footnote>
  <w:footnote w:type="continuationSeparator" w:id="0">
    <w:p w:rsidR="008420CE" w:rsidRDefault="00842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708" w:rsidRDefault="00241708" w:rsidP="00366851">
    <w:pPr>
      <w:pStyle w:val="Header"/>
      <w:ind w:firstLine="2880"/>
      <w:rPr>
        <w:rStyle w:val="PageNumber"/>
        <w:b/>
      </w:rPr>
    </w:pPr>
  </w:p>
  <w:p w:rsidR="00241708" w:rsidRPr="00F71E99" w:rsidRDefault="00365495" w:rsidP="00366851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70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41708">
      <w:rPr>
        <w:rFonts w:ascii="Arial" w:hAnsi="Arial" w:cs="Arial"/>
        <w:b/>
        <w:sz w:val="22"/>
        <w:szCs w:val="22"/>
        <w:u w:val="single"/>
      </w:rPr>
      <w:t>March 2010</w:t>
    </w:r>
    <w:r w:rsidR="00241708">
      <w:rPr>
        <w:rFonts w:ascii="Arial" w:hAnsi="Arial" w:cs="Arial"/>
        <w:b/>
        <w:color w:val="FF0000"/>
        <w:sz w:val="22"/>
        <w:szCs w:val="22"/>
      </w:rPr>
      <w:tab/>
    </w:r>
  </w:p>
  <w:p w:rsidR="00241708" w:rsidRPr="00F668DB" w:rsidRDefault="00241708" w:rsidP="0036685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Revenue and Other Legislation Amendment Bill 2010</w:t>
    </w:r>
  </w:p>
  <w:p w:rsidR="00241708" w:rsidRPr="00F668DB" w:rsidRDefault="00241708" w:rsidP="0036685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668DB">
      <w:rPr>
        <w:rFonts w:ascii="Arial" w:hAnsi="Arial" w:cs="Arial"/>
        <w:b/>
        <w:sz w:val="22"/>
        <w:szCs w:val="22"/>
        <w:u w:val="single"/>
      </w:rPr>
      <w:t>Treasurer</w:t>
    </w:r>
    <w:r>
      <w:rPr>
        <w:rFonts w:ascii="Arial" w:hAnsi="Arial" w:cs="Arial"/>
        <w:b/>
        <w:sz w:val="22"/>
        <w:szCs w:val="22"/>
        <w:u w:val="single"/>
      </w:rPr>
      <w:t xml:space="preserve"> and Minister for Employment and Economic Development</w:t>
    </w:r>
  </w:p>
  <w:p w:rsidR="00241708" w:rsidRPr="00273317" w:rsidRDefault="00241708" w:rsidP="00366851">
    <w:pPr>
      <w:pStyle w:val="Header"/>
      <w:pBdr>
        <w:bottom w:val="single" w:sz="4" w:space="1" w:color="auto"/>
      </w:pBdr>
      <w:tabs>
        <w:tab w:val="clear" w:pos="4153"/>
        <w:tab w:val="clear" w:pos="8306"/>
        <w:tab w:val="left" w:pos="2955"/>
      </w:tabs>
    </w:pPr>
  </w:p>
  <w:p w:rsidR="00241708" w:rsidRDefault="002417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7C8F"/>
    <w:multiLevelType w:val="hybridMultilevel"/>
    <w:tmpl w:val="6F045996"/>
    <w:lvl w:ilvl="0" w:tplc="186085D6">
      <w:start w:val="1"/>
      <w:numFmt w:val="decimal"/>
      <w:lvlText w:val="%1. "/>
      <w:lvlJc w:val="left"/>
      <w:pPr>
        <w:tabs>
          <w:tab w:val="num" w:pos="2272"/>
        </w:tabs>
        <w:ind w:left="2272" w:hanging="562"/>
      </w:pPr>
    </w:lvl>
    <w:lvl w:ilvl="1" w:tplc="13E45736">
      <w:start w:val="1"/>
      <w:numFmt w:val="bullet"/>
      <w:lvlText w:val=""/>
      <w:lvlJc w:val="left"/>
      <w:pPr>
        <w:tabs>
          <w:tab w:val="num" w:pos="3150"/>
        </w:tabs>
        <w:ind w:left="3074" w:hanging="284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" w15:restartNumberingAfterBreak="0">
    <w:nsid w:val="300C0C0E"/>
    <w:multiLevelType w:val="hybridMultilevel"/>
    <w:tmpl w:val="49CA18A8"/>
    <w:lvl w:ilvl="0" w:tplc="24B48D42">
      <w:start w:val="1"/>
      <w:numFmt w:val="bullet"/>
      <w:lvlText w:val=""/>
      <w:lvlJc w:val="left"/>
      <w:pPr>
        <w:tabs>
          <w:tab w:val="num" w:pos="1114"/>
        </w:tabs>
        <w:ind w:left="1114" w:hanging="28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191"/>
        </w:tabs>
        <w:ind w:left="11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51"/>
        </w:tabs>
        <w:ind w:left="33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71"/>
        </w:tabs>
        <w:ind w:left="40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91"/>
        </w:tabs>
        <w:ind w:left="47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11"/>
        </w:tabs>
        <w:ind w:left="55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31"/>
        </w:tabs>
        <w:ind w:left="6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1"/>
    <w:rsid w:val="00241708"/>
    <w:rsid w:val="002A489A"/>
    <w:rsid w:val="0034039D"/>
    <w:rsid w:val="00365495"/>
    <w:rsid w:val="00366851"/>
    <w:rsid w:val="00444B37"/>
    <w:rsid w:val="00466A6B"/>
    <w:rsid w:val="004D7903"/>
    <w:rsid w:val="005331EF"/>
    <w:rsid w:val="00533557"/>
    <w:rsid w:val="00546678"/>
    <w:rsid w:val="0058755F"/>
    <w:rsid w:val="005B6CCE"/>
    <w:rsid w:val="006E5B7A"/>
    <w:rsid w:val="00716103"/>
    <w:rsid w:val="00746A25"/>
    <w:rsid w:val="008420CE"/>
    <w:rsid w:val="0086510C"/>
    <w:rsid w:val="008E581F"/>
    <w:rsid w:val="008F4588"/>
    <w:rsid w:val="00985B32"/>
    <w:rsid w:val="009D318A"/>
    <w:rsid w:val="00AD0156"/>
    <w:rsid w:val="00B164AB"/>
    <w:rsid w:val="00B66E88"/>
    <w:rsid w:val="00BB4809"/>
    <w:rsid w:val="00BF63BA"/>
    <w:rsid w:val="00D87836"/>
    <w:rsid w:val="00E073F0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5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366851"/>
    <w:pPr>
      <w:tabs>
        <w:tab w:val="left" w:pos="8278"/>
      </w:tabs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Header">
    <w:name w:val="header"/>
    <w:basedOn w:val="Normal"/>
    <w:rsid w:val="003668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68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6851"/>
  </w:style>
  <w:style w:type="paragraph" w:styleId="BalloonText">
    <w:name w:val="Balloon Text"/>
    <w:basedOn w:val="Normal"/>
    <w:semiHidden/>
    <w:rsid w:val="009D31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6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OLAB10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OLAB1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2170</CharactersWithSpaces>
  <SharedDoc>false</SharedDoc>
  <HyperlinkBase>https://www.cabinet.qld.gov.au/documents/2010/Mar/Revenue and OLAB/</HyperlinkBase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Attachments/ROLAB10Exp.pdf</vt:lpwstr>
      </vt:variant>
      <vt:variant>
        <vt:lpwstr/>
      </vt:variant>
      <vt:variant>
        <vt:i4>3539002</vt:i4>
      </vt:variant>
      <vt:variant>
        <vt:i4>0</vt:i4>
      </vt:variant>
      <vt:variant>
        <vt:i4>0</vt:i4>
      </vt:variant>
      <vt:variant>
        <vt:i4>5</vt:i4>
      </vt:variant>
      <vt:variant>
        <vt:lpwstr>Attachments/ROLAB10.pdf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Ambulance,Trans-Tasman,Payroll</cp:keywords>
  <dc:description/>
  <cp:lastModifiedBy/>
  <cp:revision>2</cp:revision>
  <cp:lastPrinted>2010-05-31T06:22:00Z</cp:lastPrinted>
  <dcterms:created xsi:type="dcterms:W3CDTF">2017-10-24T22:20:00Z</dcterms:created>
  <dcterms:modified xsi:type="dcterms:W3CDTF">2018-03-06T01:03:00Z</dcterms:modified>
  <cp:category>Legislation,Revenue</cp:category>
</cp:coreProperties>
</file>